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29" w:rsidRDefault="00A84129" w:rsidP="00A8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732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84129" w:rsidRPr="00AB7329" w:rsidRDefault="00A84129" w:rsidP="00A8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129" w:rsidRPr="00AB7329" w:rsidRDefault="00A84129" w:rsidP="00A8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A84129" w:rsidRPr="00AB7329" w:rsidRDefault="00A84129" w:rsidP="00A8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4129" w:rsidRPr="00AB7329" w:rsidRDefault="00A84129" w:rsidP="00A8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32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84129" w:rsidRPr="00AB7329" w:rsidRDefault="00A84129" w:rsidP="00A8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 »              </w:t>
      </w:r>
      <w:r w:rsidRPr="00AB7329">
        <w:rPr>
          <w:rFonts w:ascii="Times New Roman" w:hAnsi="Times New Roman" w:cs="Times New Roman"/>
          <w:sz w:val="28"/>
          <w:szCs w:val="28"/>
          <w:u w:val="single"/>
        </w:rPr>
        <w:t xml:space="preserve">  2016</w:t>
      </w:r>
      <w:r>
        <w:rPr>
          <w:rFonts w:ascii="Times New Roman" w:hAnsi="Times New Roman" w:cs="Times New Roman"/>
          <w:sz w:val="28"/>
          <w:szCs w:val="28"/>
          <w:u w:val="single"/>
        </w:rPr>
        <w:t>г.   №</w:t>
      </w:r>
    </w:p>
    <w:p w:rsidR="00A84129" w:rsidRDefault="00A84129" w:rsidP="00A84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732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B732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B7329">
        <w:rPr>
          <w:rFonts w:ascii="Times New Roman" w:hAnsi="Times New Roman" w:cs="Times New Roman"/>
          <w:sz w:val="28"/>
          <w:szCs w:val="28"/>
        </w:rPr>
        <w:t>онжа</w:t>
      </w:r>
      <w:bookmarkStart w:id="0" w:name="sub_26"/>
      <w:bookmarkEnd w:id="0"/>
      <w:proofErr w:type="spellEnd"/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комиссии по соблюдению требований</w:t>
      </w:r>
    </w:p>
    <w:p w:rsid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служебному поведению </w:t>
      </w:r>
      <w:proofErr w:type="gramStart"/>
      <w:r w:rsidRPr="00A8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proofErr w:type="gramEnd"/>
      <w:r w:rsidRPr="00A8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Гонжинского сельсовета и</w:t>
      </w:r>
    </w:p>
    <w:p w:rsid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урегулированию конфликта интересов</w:t>
      </w:r>
    </w:p>
    <w:p w:rsid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Федеральными законами «О муниципальной службе в Российской Федерации» № </w:t>
      </w:r>
      <w:r w:rsidRPr="00734C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25-ФЗ от 02.03.2007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(с изменениями и дополнениями); «О противодействии коррупции» № 273-ФЗ от 25.12.2008 года;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</w:t>
      </w:r>
      <w:r w:rsidRPr="00734C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01.07.2010 г. № 821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 (в ред. от 08.03.2015 г.), Указом Президента Российской Федерации </w:t>
      </w:r>
      <w:r w:rsidRPr="00734C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22.12.2015 N 650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обязанностей,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интересов, и 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некоторые акты Президента»: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A84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A84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A84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A84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ю:</w:t>
      </w:r>
    </w:p>
    <w:p w:rsidR="00A84129" w:rsidRPr="00A84129" w:rsidRDefault="00A84129" w:rsidP="00A84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129">
        <w:rPr>
          <w:rFonts w:ascii="Times New Roman" w:hAnsi="Times New Roman" w:cs="Times New Roman"/>
          <w:color w:val="000000"/>
          <w:sz w:val="28"/>
          <w:szCs w:val="28"/>
        </w:rPr>
        <w:t>1. Утвердить:</w:t>
      </w:r>
    </w:p>
    <w:p w:rsidR="00A84129" w:rsidRPr="00A84129" w:rsidRDefault="00A84129" w:rsidP="00A84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hyperlink r:id="rId5" w:anchor="Par48" w:history="1">
        <w:r w:rsidRPr="00A8412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A84129">
        <w:rPr>
          <w:rFonts w:ascii="Times New Roman" w:hAnsi="Times New Roman" w:cs="Times New Roman"/>
          <w:color w:val="000000"/>
          <w:sz w:val="28"/>
          <w:szCs w:val="28"/>
        </w:rPr>
        <w:t xml:space="preserve"> о Комиссии по соблюдению требов</w:t>
      </w:r>
      <w:r w:rsidRPr="00A84129">
        <w:rPr>
          <w:rFonts w:ascii="Times New Roman" w:hAnsi="Times New Roman" w:cs="Times New Roman"/>
          <w:sz w:val="28"/>
          <w:szCs w:val="28"/>
        </w:rPr>
        <w:t>аний к служебному поведению муниципальных служащих администраци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 Гонжинского сельсовета</w:t>
      </w:r>
      <w:r w:rsidRPr="00A84129">
        <w:rPr>
          <w:rFonts w:ascii="Times New Roman" w:hAnsi="Times New Roman" w:cs="Times New Roman"/>
          <w:sz w:val="28"/>
          <w:szCs w:val="28"/>
        </w:rPr>
        <w:t>, и урегулированию конфликта интересов согласно приложению № 1.</w:t>
      </w:r>
    </w:p>
    <w:p w:rsidR="00A84129" w:rsidRPr="00A84129" w:rsidRDefault="00A84129" w:rsidP="00A84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6" w:anchor="Par166" w:history="1">
        <w:r w:rsidRPr="00A8412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A84129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информацией, поступившей в Комиссию по соблюдению требований к служебному поведению муниципальных служащих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муниципального образования Гонжинского сельсовета</w:t>
      </w:r>
      <w:r w:rsidRPr="00A84129">
        <w:rPr>
          <w:rFonts w:ascii="Times New Roman" w:hAnsi="Times New Roman" w:cs="Times New Roman"/>
          <w:color w:val="000000"/>
          <w:sz w:val="28"/>
          <w:szCs w:val="28"/>
        </w:rPr>
        <w:t>, и урегулированию конфликта интересов, содержащей основания для проведения заседания, согласно приложению № 2.</w:t>
      </w:r>
    </w:p>
    <w:p w:rsidR="00A84129" w:rsidRPr="00A84129" w:rsidRDefault="00A84129" w:rsidP="00A84129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12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:rsidR="00A84129" w:rsidRPr="00A84129" w:rsidRDefault="00A84129" w:rsidP="00A8412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hyperlink r:id="rId7" w:anchor="Par203" w:history="1">
        <w:r w:rsidRPr="00A8412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Состав</w:t>
        </w:r>
      </w:hyperlink>
      <w:r w:rsidRPr="00A84129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соблюдению требований к служебному поведению   муниципальных служащих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муниципального образования Гонжинского сельсовета</w:t>
      </w:r>
      <w:r w:rsidRPr="00A84129">
        <w:rPr>
          <w:rFonts w:ascii="Times New Roman" w:hAnsi="Times New Roman" w:cs="Times New Roman"/>
          <w:color w:val="000000"/>
          <w:sz w:val="28"/>
          <w:szCs w:val="28"/>
        </w:rPr>
        <w:t xml:space="preserve">, и урегулированию конфликта интересов, согласно  </w:t>
      </w:r>
      <w:r w:rsidRPr="00A84129">
        <w:rPr>
          <w:rFonts w:ascii="Times New Roman" w:hAnsi="Times New Roman" w:cs="Times New Roman"/>
          <w:sz w:val="28"/>
          <w:szCs w:val="28"/>
        </w:rPr>
        <w:t>приложению № 3.</w:t>
      </w:r>
    </w:p>
    <w:p w:rsidR="00A84129" w:rsidRDefault="00A84129" w:rsidP="00A84129">
      <w:pPr>
        <w:pStyle w:val="a5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hAnsi="Times New Roman" w:cs="Times New Roman"/>
          <w:sz w:val="28"/>
          <w:szCs w:val="28"/>
        </w:rPr>
        <w:t xml:space="preserve">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настоящего постановления, считать утратившими силу постановление главы местной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Гонжинского сельсовета от 30.11.2015г. № 73 « Об утверждении положения о комиссии по соблюдению требований к служебному поведению муниципальных служащих муниципального образования Гонжинского сельсовета и урегулированию конфликта интересов».</w:t>
      </w:r>
    </w:p>
    <w:p w:rsidR="00A84129" w:rsidRPr="00A84129" w:rsidRDefault="00A84129" w:rsidP="00A84129">
      <w:pPr>
        <w:pStyle w:val="a5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hAnsi="Times New Roman"/>
          <w:sz w:val="28"/>
          <w:szCs w:val="28"/>
        </w:rPr>
        <w:t>Постановление разместить на официальном сайте администрации муниципального образования Гонжинского сельсовета в сети Интернет.</w:t>
      </w:r>
    </w:p>
    <w:p w:rsidR="00A84129" w:rsidRDefault="00A84129" w:rsidP="00A84129">
      <w:pPr>
        <w:jc w:val="both"/>
        <w:rPr>
          <w:rFonts w:ascii="Times New Roman" w:hAnsi="Times New Roman"/>
          <w:sz w:val="28"/>
          <w:szCs w:val="28"/>
        </w:rPr>
      </w:pPr>
    </w:p>
    <w:p w:rsidR="00A84129" w:rsidRDefault="00A84129" w:rsidP="00A84129">
      <w:pPr>
        <w:jc w:val="both"/>
        <w:rPr>
          <w:rFonts w:ascii="Times New Roman" w:hAnsi="Times New Roman"/>
          <w:sz w:val="28"/>
          <w:szCs w:val="28"/>
        </w:rPr>
      </w:pPr>
    </w:p>
    <w:p w:rsidR="00A84129" w:rsidRDefault="00A84129" w:rsidP="00A841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129" w:rsidRDefault="00A84129" w:rsidP="00A841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84129" w:rsidRPr="00AB7329" w:rsidRDefault="00A84129" w:rsidP="00A841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Гонжинского сельсовета                                                 </w:t>
      </w: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Default="00A84129" w:rsidP="00A841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A84129" w:rsidRPr="00AB7329" w:rsidRDefault="006772AC" w:rsidP="006772AC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A938A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84129" w:rsidRDefault="006772AC" w:rsidP="006772AC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38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8AF">
        <w:rPr>
          <w:rFonts w:ascii="Times New Roman" w:hAnsi="Times New Roman" w:cs="Times New Roman"/>
          <w:sz w:val="24"/>
          <w:szCs w:val="24"/>
        </w:rPr>
        <w:t>постановлению</w:t>
      </w:r>
      <w:r w:rsidR="00A84129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A84129" w:rsidRDefault="006772AC" w:rsidP="006772AC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841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84129" w:rsidRDefault="006772AC" w:rsidP="006772AC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4129">
        <w:rPr>
          <w:rFonts w:ascii="Times New Roman" w:hAnsi="Times New Roman" w:cs="Times New Roman"/>
          <w:sz w:val="24"/>
          <w:szCs w:val="24"/>
        </w:rPr>
        <w:t>Гонжинского сельсовета</w:t>
      </w:r>
    </w:p>
    <w:p w:rsidR="00A84129" w:rsidRPr="00AB7329" w:rsidRDefault="006772AC" w:rsidP="006772AC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4129">
        <w:rPr>
          <w:rFonts w:ascii="Times New Roman" w:hAnsi="Times New Roman" w:cs="Times New Roman"/>
          <w:sz w:val="24"/>
          <w:szCs w:val="24"/>
        </w:rPr>
        <w:t>от  «__»______ 2016г. №__</w:t>
      </w:r>
    </w:p>
    <w:p w:rsidR="00A84129" w:rsidRPr="00AB7329" w:rsidRDefault="00A84129" w:rsidP="006772A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129" w:rsidRPr="00A84129" w:rsidRDefault="00A84129" w:rsidP="00A938AF">
      <w:pPr>
        <w:pStyle w:val="a5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29" w:rsidRPr="00A84129" w:rsidRDefault="00A84129" w:rsidP="00A8412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129" w:rsidRPr="00A84129" w:rsidRDefault="00A84129" w:rsidP="00A9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84129" w:rsidRPr="00A84129" w:rsidRDefault="00A84129" w:rsidP="00A9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  МУНИЦИПАЛЬНЫХ   СЛУЖАЩИХ</w:t>
      </w:r>
    </w:p>
    <w:p w:rsidR="00A84129" w:rsidRDefault="00A938AF" w:rsidP="00A9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  МУНИЦИПАЛЬНОГО ОБРАЗОВАНИЯ ГОНЖИНСКОГО СЕЛЬСОВЕТА</w:t>
      </w:r>
      <w:r w:rsidR="00A84129"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 УРЕГУЛИРОВАНИЮ   КОНФЛИКТА ИНТЕРЕСОВ</w:t>
      </w:r>
    </w:p>
    <w:p w:rsidR="00A938AF" w:rsidRPr="00A84129" w:rsidRDefault="00A938AF" w:rsidP="00A9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  муниципальных служащих  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  муниципального образования Гонжинского сельсовета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(далее — комиссия), образуемая в  администрации в  соответствии с Федеральным законом от 25 декабря 2008 г. N 273-ФЗ «О противодействии коррупции».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84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  Правительства  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области,  нормативными 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  актами, Магдагачинского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главы 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  муниципального образования Гонжинского сельсовета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 настоящим Положением.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Основными задачами </w:t>
      </w:r>
      <w:r w:rsidRPr="00A84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обеспечение   соблюдения      муниципальными служащи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  местной  администрации муниципального образования Гонжинского сельсовета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 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  <w:proofErr w:type="gramEnd"/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осуществление в   администрации  мер по предупреждению коррупции;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 условий  для  добросовестного  и  эффективного  исполнения  служебных  обязанностей  муниципальными  служащими;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сключение  злоупотреблений  со  стороны  муниципальных  служащих  на  муниципальной  службе.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интересов, в отношении  муниципальных служащих, замещающих должности муниципальной  службы (далее — должност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муниципальной  службы) в муниципальном образовании Гонжинского сельсовета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формирования и деятельности комиссии, а также ее состав определяются   главой  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  муниципального образования Гонжинского сельсовета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Положением.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6.Комиссия  образуется    нормативным правовым актом  главы   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  муниципального образования Гонжинского сельсовета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Указанным актом утверждаются состав комиссии и порядок ее работы.</w:t>
      </w:r>
    </w:p>
    <w:p w:rsidR="00A84129" w:rsidRPr="00A84129" w:rsidRDefault="00A84129" w:rsidP="00A84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 председатель комиссии, его заместитель, назначаемый главой 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Гонжинского сельсовета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комиссии, замещающих должности муниципал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службы в  администрации муниципального образования Гонжинского сельсовета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входят: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глава администрации  (председатель комиссии),   должностное лицо кадровой службы  муниципального органа, (секретарь комиссии), ответственный  за работу по профилактике коррупционных и иных правонарушений, муниципальные служащие, иные лица.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Глава  администрации поселения может принять решение о включении в состав комиссии: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представителя общественного совета, образованного при администрации поселения в соответствии с </w:t>
      </w:r>
      <w:hyperlink r:id="rId8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 статьи 20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4 апреля 2005 г. N 32-ФЗ «Об Общественной палате Российской Федерации»;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общественной организации ветеранов, созданной в  администрации поселения;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Число членов комиссии, не замещающих должности муниципальной службы в  муниципальном  органе, должно составлять не менее одной четверти от общего числа членов комиссии.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конфликта интересов, и определяемые председателем комиссии два муниципальных служащих, замещающих в  муниципальном органе должности  муниципальной  службы, аналогичные должности, замещаемой  муниципальным  служащим, в отношении которого комиссией рассматривается этот вопрос;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  службы в администрации поселения; специалисты, которые могут дать пояснения по вопросам  муниципальной службы и вопросам, рассматриваемым комиссией; должностные лица других  муниципальных  органов, органов местного самоуправления; представители заинтересованных организаций;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  муниципального 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  муниципального  служащего, в отношении которого комиссией рассматривается этот вопрос, или любого члена комиссии.</w:t>
      </w:r>
      <w:proofErr w:type="gramEnd"/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   муниципальной  службы в   администрации поселения, недопустимо.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представление руководителем  муниципального органа в соответствии с пунктом 29</w:t>
      </w:r>
      <w:r w:rsidR="00A9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проверке достоверности и полноты сведений, представляемых гражданами, претендующими на замещение должностей  муниципальной  службы, и муниципальными 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  муниципальным служащим недостоверных или неполных сведений, предусмотренных подпунктом «а» пункта 1 названного Положения;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  муниципальным служащим требований к служебному поведению и (или) требований об урегулировании конфликта интересов;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поселения или должностному лицу кадровой службы, или лицу, ответственному за работу по профилактике коррупционных и иных правонарушений, в порядке, установленном нормативным правовым актом  муниципального  органа: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  муниципальном образовании должность  муниципальной службы, включенную в перечень должностей, утвержденный нормативным правовым актом  администрации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  управлению этой организацией входили в его должностные (служебные) обязанности, до истечения двух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увольнения с  муниципальной  службы;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муниципального служащего о невозможности выполнить требования Федерального </w:t>
      </w:r>
      <w:hyperlink r:id="rId9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муниципального образования или любого члена комиссии, касающееся обеспечения соблюдения  муниципальным служащим требований к служебному поведению и (или) требований об урегулировании конфликта интересов либо осуществления в муниципальном  образовании мер по предупреждению коррупции.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представление руководителем муниципального образования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3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— Федеральный закон «О контроле за соответствием расходов лиц, замещающих государственные должности, и иных лиц их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доходам»);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поступившее в соответствии с </w:t>
      </w:r>
      <w:hyperlink r:id="rId11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4 статьи 12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«О противодействии коррупции» и </w:t>
      </w:r>
      <w:hyperlink r:id="rId12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64.1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муниципальное образование уведомление коммерческой или некоммерческой организации о заключении с гражданином, замещавшим должность муниципальной службы в муниципальном образовании,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данной организацией входили в его должностные (служебные) обязанности, исполняемые во время замещения должности в муниципальном образовании,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поселения, в администрацию поселения работнику кадровой службы   или лицу, ответственному за работу   по профилактике коррупционных и иных правонарушений.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поселения по профилактике коррупционных и иных правонарушений осуществляется рассмотрение обращения, по результатам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которого подготавливается мотивированное заключение по существу обращения с учетом требований </w:t>
      </w:r>
      <w:hyperlink r:id="rId13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12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«О противодействии коррупции».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Уведомление, указанное в подпункте «г» пункта 14 настоящего Положения, рассматривается  в администрации, которая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4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12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«О противодействии коррупции».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Уведомление, указанное в абзаце пятом подпункта «б» пункта 14 настоящего Положения, рассматривается администрацией, которая осуществляет подготовку мотивированного заключения по результатам рассмотрения уведомления;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</w:t>
      </w:r>
      <w:proofErr w:type="spell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14 настоящего Положения, должностные лица 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 или его заместитель, специально на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Председатель комиссии при поступлении к нему в порядке, предусмотренном нормативным правовым актом  администрации поселения, информации, содержащей основания для проведения заседания комиссии: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поселения, и с результатами ее проверки;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Заседание комиссии по рассмотрению заявлений, указанных в абзацах третьем и четвертом подпункта «б» пункта 14 настоящего Положения, как правило, проводятся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Уведомление, указанное в подпункте «г» пункта 14 настоящего Положения, как правило, рассматривается на очередном (плановом) заседании комиссии.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муниципальном образовании.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Заседания комиссии могут проводиться в отсутствие муниципального служащего или гражданина в случае: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образовании (с их согласия), и иных лиц,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рассматриваются материалы по существу вынесенных на данное заседание вопросов, а также дополнительные материалы.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сведения, представленные 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  муниципальной службы,  и соблюдения 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 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комиссия рекомендует главе поселения применить к  муниципальному  служащему конкретную меру ответственности.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  муниципальный  служащий соблюдал требования к служебному поведению и (или) требования об урегулировании конфликта интересов;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  муниципальный  служащий не соблюдал требования к служебному поведению и (или) требования об урегулировании конфликта интересов. В этом случае комиссия рекомендует  главе муниципального образования указать 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  муниципальному  служащему конкретную меру ответственности.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  муниципальному  служащему принять меры по представлению указанных сведений;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 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  муниципального образования применить к   муниципальному  служащему конкретную меру ответственности.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По итогам рассмотрения вопроса, указанного в </w:t>
      </w:r>
      <w:hyperlink r:id="rId15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«г» пункта 1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комиссия принимает одно из следующих решений: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3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 статьи 3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расходами, в органы прокуратуры и (или) иные государственные органы в соответствии с их компетенцией.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По итогам рассмотрения вопроса, указанного в </w:t>
      </w:r>
      <w:hyperlink r:id="rId18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четвертом подпункта «б» пункта 1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комиссия принимает одно из следующих решений: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19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20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поселения применить к муниципальному служащему конкретную меру ответственности.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23.3.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поселения применить к муниципальному служащему конкретную меру ответственности.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итогам рассмотрения вопросов, указанных в подпунктах «а», «б», «г» и «</w:t>
      </w:r>
      <w:proofErr w:type="spell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14 настоящего Положения, и при наличии к тому оснований комиссия может принять иное решение, чем это предусмотрено пунктами 20 — 23, 23.1 – 23.3, и 24.1,настоящего Положения. Основания и мотивы принятия такого решения должны быть отражены в протоколе заседания комиссии.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24.1. По итогам рассмотрения вопроса, указанного в </w:t>
      </w:r>
      <w:hyperlink r:id="rId21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«</w:t>
        </w:r>
        <w:proofErr w:type="spellStart"/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</w:t>
        </w:r>
        <w:proofErr w:type="spellEnd"/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» пункта 1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комиссия принимает в отношении гражданина, замещавшего должность муниципальной  службы в  муниципальном образовании, одно из следующих решений: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A841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12</w:t>
        </w:r>
      </w:hyperlink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«О противодействии коррупции». В этом случае комиссия рекомендует главе поселения  проинформировать об указанных обстоятельствах органы прокуратуры и уведомившую организацию.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Для исполнения решений комиссии могут быть подготовлены проекты нормативных правовых актов  администрации поселения, решений или поручений главы поселения, которые в установленном порядке представляются на рассмотрение главы   муниципального образования.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  муниципального образования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протоколе заседания комиссии указываются: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 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  муниципальному служащему претензии, материалы, на которых они основываются;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   администрацию поселения;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голосования;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Копии протокола заседания комиссии в 7-дневный срок со дня заседания направляются главе администрации поселения, полностью или в виде выписок из него – муниципальному  служащему, а также по решению комиссии — иным заинтересованным лицам.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Глава  администрации поселения обязан рассмотреть протокол заседания комиссии и вправе учесть в пределах своей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 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 в письменной форме уведомляет комиссию в месячный срок со дня поступления к нему протокола заседания комиссии. Решение  главы администрации оглашается на ближайшем заседании комиссии и принимается к сведению без обсуждения.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</w:t>
      </w: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 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  <w:proofErr w:type="gramEnd"/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35.1.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комиссии, заверенная подписью секретаря комиссии и печатью администрации поселения,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рассмотрения вопросов, указанных в пункте 14 настоящего Положения, аттестационными комиссиями муниципальных органов,  при назначении на которые граждане и при замещении которых 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</w:t>
      </w:r>
      <w:proofErr w:type="gramEnd"/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мая 2009 г. N 557 (далее —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7 настоящего Положения, а также по решению главы администрации сельского поселения — лица, указанные в пункте 8 настоящего Положения.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38. В заседаниях аттестационных комиссий при рассмотрении вопросов, указанных в пункте 14 настоящего Положения, участвуют лица, указанные в пункте 11 настоящего Положения.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39. Организационно-техническое и документационное обеспечение заседаний аттестационных комиссий осуществляется  администрацией сельского поселения, в соответствии  пункта 3 Указа Президента Российской Федерации   от 21 сентября 2009 г. N 1065.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40. Формирование аттестационных комиссий и их работа осуществляются в порядке, предусмотренном нормативными правовыми актами области  и настоящим Положением,  с соблюдением законодательства Российской Федерации о государственной тайне.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4129" w:rsidRPr="00A84129" w:rsidRDefault="00A84129" w:rsidP="00A84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AF" w:rsidRPr="00AB7329" w:rsidRDefault="00A938AF" w:rsidP="00A938AF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Приложение № 2</w:t>
      </w:r>
    </w:p>
    <w:p w:rsidR="00A938AF" w:rsidRDefault="00A938AF" w:rsidP="00A938AF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 постановлению главы</w:t>
      </w:r>
    </w:p>
    <w:p w:rsidR="00A938AF" w:rsidRDefault="00A938AF" w:rsidP="00A938AF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муниципального образования</w:t>
      </w:r>
    </w:p>
    <w:p w:rsidR="00A938AF" w:rsidRDefault="00A938AF" w:rsidP="00A938AF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Гонжинского сельсовета</w:t>
      </w:r>
    </w:p>
    <w:p w:rsidR="00A938AF" w:rsidRPr="00AB7329" w:rsidRDefault="00A938AF" w:rsidP="00A938AF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 «__»______ 2016г. №__</w:t>
      </w:r>
    </w:p>
    <w:p w:rsidR="00A938AF" w:rsidRPr="00AB7329" w:rsidRDefault="00A938AF" w:rsidP="00A938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8AF" w:rsidRDefault="00A938AF" w:rsidP="00A841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12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129">
        <w:rPr>
          <w:rFonts w:ascii="Times New Roman" w:hAnsi="Times New Roman" w:cs="Times New Roman"/>
          <w:b/>
          <w:bCs/>
          <w:sz w:val="28"/>
          <w:szCs w:val="28"/>
        </w:rPr>
        <w:t>РАБОТЫ С ИНФОРМАЦИЕЙ, ПОСТУПИВШЕЙ В КОМИССИЮ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129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АДМИНИСТРАЦИИ МОТОРСКОГО СЕЛЬСКОГО ПОСЕЛЕНИЯ И УРЕГУЛИРОВАНИЮ КОНФЛИКТА ИНТЕРЕСОВ,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84129">
        <w:rPr>
          <w:rFonts w:ascii="Times New Roman" w:hAnsi="Times New Roman" w:cs="Times New Roman"/>
          <w:b/>
          <w:bCs/>
          <w:sz w:val="28"/>
          <w:szCs w:val="28"/>
        </w:rPr>
        <w:t>СОДЕРЖАЩЕЙ</w:t>
      </w:r>
      <w:proofErr w:type="gramEnd"/>
      <w:r w:rsidRPr="00A84129">
        <w:rPr>
          <w:rFonts w:ascii="Times New Roman" w:hAnsi="Times New Roman" w:cs="Times New Roman"/>
          <w:b/>
          <w:bCs/>
          <w:sz w:val="28"/>
          <w:szCs w:val="28"/>
        </w:rPr>
        <w:t xml:space="preserve"> ОСНОВАНИЯ ДЛЯ ПРОВЕДЕНИЯ ЗАСЕДАНИЯ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4129">
        <w:rPr>
          <w:rFonts w:ascii="Times New Roman" w:hAnsi="Times New Roman" w:cs="Times New Roman"/>
          <w:sz w:val="28"/>
          <w:szCs w:val="28"/>
        </w:rPr>
        <w:t>Порядок работы с информацией, поступившей в Комиссию по соблюдению требований к служебному поведению муниципальных служащих администраци</w:t>
      </w:r>
      <w:r w:rsidR="00734C6D">
        <w:rPr>
          <w:rFonts w:ascii="Times New Roman" w:hAnsi="Times New Roman" w:cs="Times New Roman"/>
          <w:sz w:val="28"/>
          <w:szCs w:val="28"/>
        </w:rPr>
        <w:t>и муниципального образования Гонжинского сельсовета</w:t>
      </w:r>
      <w:r w:rsidRPr="00A8412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Комиссия), содержащей основания для проведения заседания, устанавливает правила рассмотрения поступающих в Комиссию обращений, содержащих сведения о фактах проявления коррупции, о нарушении требований к служебному поведению и конфликте интересов в ад</w:t>
      </w:r>
      <w:r w:rsidR="00734C6D">
        <w:rPr>
          <w:rFonts w:ascii="Times New Roman" w:hAnsi="Times New Roman" w:cs="Times New Roman"/>
          <w:sz w:val="28"/>
          <w:szCs w:val="28"/>
        </w:rPr>
        <w:t>министрации Гонжинского сельсовета</w:t>
      </w:r>
      <w:r w:rsidRPr="00A841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2. Прием сообщений от граждан, юридических лиц осуществляется следующими способами: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через почтовое сообщение;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с использованием факсимильной связи;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с использованием телеграфной связи;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с использованием электронной почты;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в форме устного личного обращения к должностному лицу во время приема граждан.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3. Прием, первичная обработка и регистрация обращений по вопросам, отнесенным к компетенции Комиссии, осуществляются в порядке, предусмотренном Инструкцией по делопроизводству в ад</w:t>
      </w:r>
      <w:r w:rsidR="00734C6D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Гонжинского сельсовета</w:t>
      </w:r>
      <w:r w:rsidRPr="00A84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4. Администрация поселения или  должностное лицо, ответственные за работу по профилактике коррупционных и иных правонарушений, рассматривают поступившее обращение и в 3-дневный срок направляют его с сопроводительной запиской председателю Комиссии (в отсутствие председателя - его заместителю).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5. Председатель Комиссии (в отсутствие председателя - его заместитель) определяет необходимость проведения заседания Комиссии для рассмотрения поступившего обращения.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lastRenderedPageBreak/>
        <w:t>6. Муниципальные служащие администрации поселения несут ответственность за сохранность сведений, отнесенных в соответствии с федеральным законом к сведениям конфиденциального характера, или служебной информации, ставших им известными в связи с исполнением должностных обязанностей.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7.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сообщение в течение суток с момента поступления председателю Комиссии (в отсутствие председателя - его заместителю) направляется им в органы прокуратуры или иные правоприменительные органы.</w:t>
      </w:r>
    </w:p>
    <w:p w:rsidR="00A84129" w:rsidRP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8. Анонимные сообщения о фактах проявления коррупции, о нарушении требований к служебному поведению и конфликте интересов Комиссией не рассматриваются.</w:t>
      </w:r>
    </w:p>
    <w:p w:rsidR="00A84129" w:rsidRDefault="00A84129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129">
        <w:rPr>
          <w:rFonts w:ascii="Times New Roman" w:hAnsi="Times New Roman" w:cs="Times New Roman"/>
          <w:sz w:val="28"/>
          <w:szCs w:val="28"/>
        </w:rPr>
        <w:t>9. Документы, рассмотренные на заседании Комиссии, в течение года хранятся в  администрации поселения, а затем оформляются в соответствии с требованиями Инструкции по делопроизводству в администрации поселения и передаются в архивный сектор.</w:t>
      </w: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A93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C6D" w:rsidRPr="00AB7329" w:rsidRDefault="00734C6D" w:rsidP="00734C6D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Приложение № 3</w:t>
      </w:r>
    </w:p>
    <w:p w:rsidR="00734C6D" w:rsidRDefault="00734C6D" w:rsidP="00734C6D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 постановлению главы</w:t>
      </w:r>
    </w:p>
    <w:p w:rsidR="00734C6D" w:rsidRDefault="00734C6D" w:rsidP="00734C6D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муниципального образования</w:t>
      </w:r>
    </w:p>
    <w:p w:rsidR="00734C6D" w:rsidRDefault="00734C6D" w:rsidP="00734C6D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Гонжинского сельсовета</w:t>
      </w:r>
    </w:p>
    <w:p w:rsidR="00734C6D" w:rsidRPr="00AB7329" w:rsidRDefault="00734C6D" w:rsidP="00734C6D">
      <w:pPr>
        <w:shd w:val="clear" w:color="auto" w:fill="FFFFFF"/>
        <w:tabs>
          <w:tab w:val="left" w:pos="7882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 «__»______ 2016г. №__</w:t>
      </w:r>
    </w:p>
    <w:p w:rsidR="00734C6D" w:rsidRDefault="00734C6D" w:rsidP="00734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C6D" w:rsidRDefault="00734C6D" w:rsidP="00734C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734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734C6D" w:rsidRPr="00734C6D" w:rsidRDefault="00734C6D" w:rsidP="00734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СЛУЖАЩИХ, ЗАМЕЩАЮЩИХ ДОЛЖНОСТИ МУНИЦИПАЛЬНОЙ СЛУЖБЫ, АДМИНИСТРАЦИИ МУНИЦИПАЛЬНОГО ОБРАЗОВАНИЯ ГОНЖИНСКОГО СЕЛЬСОВЕТА.</w:t>
      </w:r>
    </w:p>
    <w:p w:rsidR="00734C6D" w:rsidRPr="00734C6D" w:rsidRDefault="00734C6D" w:rsidP="00734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C6D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 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   Баннов Иван Иванович                         -  Глава муниципального образования 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Гонжинского сельсовета;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C6D">
        <w:rPr>
          <w:rFonts w:ascii="Times New Roman" w:hAnsi="Times New Roman" w:cs="Times New Roman"/>
          <w:b/>
          <w:sz w:val="28"/>
          <w:szCs w:val="28"/>
        </w:rPr>
        <w:t>Зам. председателя комиссии: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 Чистякова Светлана Владимировна               - Специалист 1 категории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образования 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Гонжинского сельсовета;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C6D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C6D">
        <w:rPr>
          <w:rFonts w:ascii="Times New Roman" w:hAnsi="Times New Roman" w:cs="Times New Roman"/>
          <w:sz w:val="28"/>
          <w:szCs w:val="28"/>
        </w:rPr>
        <w:t>Гуренкова</w:t>
      </w:r>
      <w:proofErr w:type="spellEnd"/>
      <w:r w:rsidRPr="00734C6D">
        <w:rPr>
          <w:rFonts w:ascii="Times New Roman" w:hAnsi="Times New Roman" w:cs="Times New Roman"/>
          <w:sz w:val="28"/>
          <w:szCs w:val="28"/>
        </w:rPr>
        <w:t xml:space="preserve"> Наталья Петровна                               - Ведущий специалист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образования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Гонжинского сельсовета;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C6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C6D">
        <w:rPr>
          <w:rFonts w:ascii="Times New Roman" w:hAnsi="Times New Roman" w:cs="Times New Roman"/>
          <w:sz w:val="28"/>
          <w:szCs w:val="28"/>
        </w:rPr>
        <w:t>Барма</w:t>
      </w:r>
      <w:proofErr w:type="spellEnd"/>
      <w:r w:rsidRPr="00734C6D">
        <w:rPr>
          <w:rFonts w:ascii="Times New Roman" w:hAnsi="Times New Roman" w:cs="Times New Roman"/>
          <w:sz w:val="28"/>
          <w:szCs w:val="28"/>
        </w:rPr>
        <w:t xml:space="preserve"> Ирина Александровна                           - Специалист 2 категории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образования 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Гонжинского сельсовета;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Шулькевич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                       </w:t>
      </w:r>
      <w:r w:rsidRPr="00734C6D">
        <w:rPr>
          <w:rFonts w:ascii="Times New Roman" w:hAnsi="Times New Roman" w:cs="Times New Roman"/>
          <w:sz w:val="28"/>
          <w:szCs w:val="28"/>
        </w:rPr>
        <w:t xml:space="preserve">               - Депутат Гонжинского Совета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Pr="00734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народных депутатов;</w:t>
      </w: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4C6D" w:rsidRPr="00734C6D" w:rsidRDefault="00734C6D" w:rsidP="00734C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4C6D">
        <w:rPr>
          <w:rFonts w:ascii="Times New Roman" w:hAnsi="Times New Roman" w:cs="Times New Roman"/>
          <w:sz w:val="28"/>
          <w:szCs w:val="28"/>
        </w:rPr>
        <w:t>Радзеновская</w:t>
      </w:r>
      <w:proofErr w:type="spellEnd"/>
      <w:r w:rsidRPr="00734C6D">
        <w:rPr>
          <w:rFonts w:ascii="Times New Roman" w:hAnsi="Times New Roman" w:cs="Times New Roman"/>
          <w:sz w:val="28"/>
          <w:szCs w:val="28"/>
        </w:rPr>
        <w:t xml:space="preserve"> Светлана                                    - Депутат Гонжинского Совета</w:t>
      </w:r>
    </w:p>
    <w:p w:rsidR="00A84129" w:rsidRPr="00A84129" w:rsidRDefault="00734C6D" w:rsidP="00734C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C6D">
        <w:rPr>
          <w:rFonts w:ascii="Times New Roman" w:hAnsi="Times New Roman" w:cs="Times New Roman"/>
          <w:sz w:val="28"/>
          <w:szCs w:val="28"/>
        </w:rPr>
        <w:t xml:space="preserve">  Викторовна                                                           народных депутатов.</w:t>
      </w:r>
    </w:p>
    <w:sectPr w:rsidR="00A84129" w:rsidRPr="00A84129" w:rsidSect="00A841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737"/>
    <w:multiLevelType w:val="hybridMultilevel"/>
    <w:tmpl w:val="5E9044B4"/>
    <w:lvl w:ilvl="0" w:tplc="AFE0B03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14F79"/>
    <w:multiLevelType w:val="multilevel"/>
    <w:tmpl w:val="342A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24523D"/>
    <w:multiLevelType w:val="hybridMultilevel"/>
    <w:tmpl w:val="CA080D14"/>
    <w:lvl w:ilvl="0" w:tplc="227414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129"/>
    <w:rsid w:val="002D76C1"/>
    <w:rsid w:val="005736D1"/>
    <w:rsid w:val="006772AC"/>
    <w:rsid w:val="00734C6D"/>
    <w:rsid w:val="00A84129"/>
    <w:rsid w:val="00A938AF"/>
    <w:rsid w:val="00B2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129"/>
    <w:rPr>
      <w:color w:val="0000FF"/>
      <w:u w:val="single"/>
    </w:rPr>
  </w:style>
  <w:style w:type="table" w:styleId="a4">
    <w:name w:val="Table Grid"/>
    <w:basedOn w:val="a1"/>
    <w:uiPriority w:val="39"/>
    <w:rsid w:val="00A8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4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C6BB463643D8A1FF218364553D669F627E718070B5EDFAB1CE820A87393161886760E2808933726TFN" TargetMode="External"/><Relationship Id="rId13" Type="http://schemas.openxmlformats.org/officeDocument/2006/relationships/hyperlink" Target="consultantplus://offline/ref=E392CA56B84F9B0065D08D08404FA6BFCEB00A33F4D6573F2D98D0CDACDC7E97AECA83D3W9OFO" TargetMode="External"/><Relationship Id="rId18" Type="http://schemas.openxmlformats.org/officeDocument/2006/relationships/hyperlink" Target="consultantplus://offline/ref=566C613682325AC8FB9C04A1A1B7DE5138FDC1A7529AC630A6177AAEE298445C26CC5C99C7CBCF4AX35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5BF5EE72A0D5D20D25A689B2385F8A3294A9C0F9A8AD81C37ECC32D7CBB4DD67279A73G5N" TargetMode="External"/><Relationship Id="rId7" Type="http://schemas.openxmlformats.org/officeDocument/2006/relationships/hyperlink" Target="file:///C:\Users\&#1057;&#1087;&#1077;&#1094;&#1080;&#1072;&#1083;&#1080;&#1089;&#1090;\Desktop\&#1053;&#1055;&#1040;%20&#1082;%2024.03\&#1055;&#1086;&#1089;&#1090;&#1072;&#1085;&#1086;&#1074;&#1083;&#1077;&#1085;&#1080;&#1077;%20&#8470;%20787%20&#1086;&#1090;%2020.10.2014.doc" TargetMode="External"/><Relationship Id="rId12" Type="http://schemas.openxmlformats.org/officeDocument/2006/relationships/hyperlink" Target="consultantplus://offline/ref=25D0F6AB8ECCFB99405A9C5460F7BDB2FA576BFD4D429D8DBC4B43D6EE4BC7E9F1F7C00D0D2Fe0PDO" TargetMode="External"/><Relationship Id="rId17" Type="http://schemas.openxmlformats.org/officeDocument/2006/relationships/hyperlink" Target="consultantplus://offline/ref=566C613682325AC8FB9C04A1A1B7DE5138FDC5A65897C630A6177AAEE298445C26CC5C99C7CBCE4CX35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6C613682325AC8FB9C04A1A1B7DE5138FDC5A65897C630A6177AAEE298445C26CC5C99C7CBCE4CX35BM" TargetMode="External"/><Relationship Id="rId20" Type="http://schemas.openxmlformats.org/officeDocument/2006/relationships/hyperlink" Target="consultantplus://offline/ref=566C613682325AC8FB9C04A1A1B7DE5138FDC5A65F90C630A6177AAEE2X958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87;&#1077;&#1094;&#1080;&#1072;&#1083;&#1080;&#1089;&#1090;\Desktop\&#1053;&#1055;&#1040;%20&#1082;%2024.03\&#1055;&#1086;&#1089;&#1090;&#1072;&#1085;&#1086;&#1074;&#1083;&#1077;&#1085;&#1080;&#1077;%20&#8470;%20787%20&#1086;&#1090;%2020.10.2014.doc" TargetMode="External"/><Relationship Id="rId11" Type="http://schemas.openxmlformats.org/officeDocument/2006/relationships/hyperlink" Target="consultantplus://offline/ref=25D0F6AB8ECCFB99405A9C5460F7BDB2FA5869F04A489D8DBC4B43D6EE4BC7E9F1F7C00Fe0P9O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&#1057;&#1087;&#1077;&#1094;&#1080;&#1072;&#1083;&#1080;&#1089;&#1090;\Desktop\&#1053;&#1055;&#1040;%20&#1082;%2024.03\&#1055;&#1086;&#1089;&#1090;&#1072;&#1085;&#1086;&#1074;&#1083;&#1077;&#1085;&#1080;&#1077;%20&#8470;%20787%20&#1086;&#1090;%2020.10.2014.doc" TargetMode="External"/><Relationship Id="rId15" Type="http://schemas.openxmlformats.org/officeDocument/2006/relationships/hyperlink" Target="consultantplus://offline/ref=566C613682325AC8FB9C04A1A1B7DE5138FDC1A7529AC630A6177AAEE298445C26CC5C99C7CBCF4DX35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CF65AD05EDB227A2B60CCB80E2788193447B58FD7BAEBE975AA2123176D93613CD9EC1114E1164Fm4z1M" TargetMode="External"/><Relationship Id="rId19" Type="http://schemas.openxmlformats.org/officeDocument/2006/relationships/hyperlink" Target="consultantplus://offline/ref=566C613682325AC8FB9C04A1A1B7DE5138FDC5A65F90C630A6177AAEE2X95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0F6AB8ECCFB99405A9C5460F7BDB2FA5869F04B499D8DBC4B43D6EEe4PBO" TargetMode="External"/><Relationship Id="rId14" Type="http://schemas.openxmlformats.org/officeDocument/2006/relationships/hyperlink" Target="consultantplus://offline/ref=E392CA56B84F9B0065D08D08404FA6BFCEB00A33F4D6573F2D98D0CDACDC7E97AECA83D3W9OFO" TargetMode="External"/><Relationship Id="rId22" Type="http://schemas.openxmlformats.org/officeDocument/2006/relationships/hyperlink" Target="consultantplus://offline/ref=5B5BF5EE72A0D5D20D25A689B2385F8A3294ADC1F5A3AD81C37ECC32D7CBB4DD67279A367DG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6306</Words>
  <Characters>35947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2016-04-19T06:04:00Z</dcterms:created>
  <dcterms:modified xsi:type="dcterms:W3CDTF">2016-04-19T06:50:00Z</dcterms:modified>
</cp:coreProperties>
</file>